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307F" w14:textId="2FC07574" w:rsidR="003B7B40" w:rsidRDefault="00485DCC" w:rsidP="7619FE80">
      <w:pPr>
        <w:jc w:val="center"/>
        <w:rPr>
          <w:rFonts w:ascii="Mirador" w:eastAsia="Mirador" w:hAnsi="Mirador" w:cs="Mirador"/>
          <w:b/>
          <w:bCs/>
          <w:sz w:val="36"/>
          <w:szCs w:val="36"/>
          <w:lang w:val="es-ES"/>
        </w:rPr>
      </w:pPr>
      <w:r w:rsidRPr="79F196FC">
        <w:rPr>
          <w:rFonts w:ascii="Mirador" w:eastAsia="Mirador" w:hAnsi="Mirador" w:cs="Mirador"/>
          <w:b/>
          <w:bCs/>
          <w:sz w:val="36"/>
          <w:szCs w:val="36"/>
          <w:lang w:val="es-ES"/>
        </w:rPr>
        <w:t xml:space="preserve">Anexo </w:t>
      </w:r>
      <w:r w:rsidR="5E561597" w:rsidRPr="79F196FC">
        <w:rPr>
          <w:rFonts w:ascii="Mirador" w:eastAsia="Mirador" w:hAnsi="Mirador" w:cs="Mirador"/>
          <w:b/>
          <w:bCs/>
          <w:sz w:val="36"/>
          <w:szCs w:val="36"/>
          <w:lang w:val="es-ES"/>
        </w:rPr>
        <w:t>7</w:t>
      </w:r>
      <w:r w:rsidRPr="79F196FC">
        <w:rPr>
          <w:rFonts w:ascii="Mirador" w:eastAsia="Mirador" w:hAnsi="Mirador" w:cs="Mirador"/>
          <w:b/>
          <w:bCs/>
          <w:sz w:val="36"/>
          <w:szCs w:val="36"/>
          <w:lang w:val="es-ES"/>
        </w:rPr>
        <w:t>: Evaluación Técnica</w:t>
      </w:r>
    </w:p>
    <w:p w14:paraId="672A6659" w14:textId="77777777" w:rsidR="00485DCC" w:rsidRDefault="00485DCC" w:rsidP="7619FE80">
      <w:pPr>
        <w:rPr>
          <w:rFonts w:ascii="Mirador" w:eastAsia="Mirador" w:hAnsi="Mirador" w:cs="Mirador"/>
          <w:b/>
          <w:bCs/>
          <w:lang w:val="es-ES"/>
        </w:rPr>
      </w:pPr>
    </w:p>
    <w:tbl>
      <w:tblPr>
        <w:tblW w:w="12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65"/>
        <w:gridCol w:w="3065"/>
        <w:gridCol w:w="928"/>
        <w:gridCol w:w="6735"/>
      </w:tblGrid>
      <w:tr w:rsidR="1AD35086" w14:paraId="4EB019C1" w14:textId="77777777" w:rsidTr="5FF7BB37">
        <w:trPr>
          <w:trHeight w:val="300"/>
          <w:jc w:val="center"/>
        </w:trPr>
        <w:tc>
          <w:tcPr>
            <w:tcW w:w="1965" w:type="dxa"/>
            <w:tcMar>
              <w:top w:w="15" w:type="dxa"/>
              <w:left w:w="15" w:type="dxa"/>
              <w:right w:w="15" w:type="dxa"/>
            </w:tcMar>
          </w:tcPr>
          <w:p w14:paraId="2CAAB00C" w14:textId="7BF5C914" w:rsidR="1AD35086" w:rsidRDefault="1AD35086" w:rsidP="7619FE80">
            <w:pPr>
              <w:spacing w:after="0"/>
              <w:rPr>
                <w:rFonts w:ascii="Mirador" w:eastAsia="Mirador" w:hAnsi="Mirador" w:cs="Mirador"/>
                <w:b/>
                <w:bCs/>
                <w:color w:val="000000" w:themeColor="text1"/>
                <w:sz w:val="20"/>
                <w:szCs w:val="20"/>
              </w:rPr>
            </w:pPr>
            <w:r w:rsidRPr="7619FE80">
              <w:rPr>
                <w:rFonts w:ascii="Mirador" w:eastAsia="Mirador" w:hAnsi="Mirador" w:cs="Mirador"/>
                <w:b/>
                <w:bCs/>
                <w:color w:val="000000" w:themeColor="text1"/>
                <w:sz w:val="20"/>
                <w:szCs w:val="20"/>
              </w:rPr>
              <w:t>Criterio de Evaluación</w:t>
            </w:r>
          </w:p>
        </w:tc>
        <w:tc>
          <w:tcPr>
            <w:tcW w:w="3065" w:type="dxa"/>
            <w:tcMar>
              <w:top w:w="15" w:type="dxa"/>
              <w:left w:w="15" w:type="dxa"/>
              <w:right w:w="15" w:type="dxa"/>
            </w:tcMar>
          </w:tcPr>
          <w:p w14:paraId="6E723B4C" w14:textId="4360FEB6" w:rsidR="1AD35086" w:rsidRDefault="1AD35086" w:rsidP="7619FE80">
            <w:pPr>
              <w:spacing w:after="0"/>
              <w:rPr>
                <w:rFonts w:ascii="Mirador" w:eastAsia="Mirador" w:hAnsi="Mirador" w:cs="Mirador"/>
                <w:b/>
                <w:bCs/>
                <w:color w:val="000000" w:themeColor="text1"/>
                <w:sz w:val="20"/>
                <w:szCs w:val="20"/>
              </w:rPr>
            </w:pPr>
            <w:proofErr w:type="spellStart"/>
            <w:r w:rsidRPr="7619FE80">
              <w:rPr>
                <w:rFonts w:ascii="Mirador" w:eastAsia="Mirador" w:hAnsi="Mirador" w:cs="Mirador"/>
                <w:b/>
                <w:bCs/>
                <w:color w:val="000000" w:themeColor="text1"/>
                <w:sz w:val="20"/>
                <w:szCs w:val="20"/>
              </w:rPr>
              <w:t>Subcriterio</w:t>
            </w:r>
            <w:proofErr w:type="spellEnd"/>
          </w:p>
        </w:tc>
        <w:tc>
          <w:tcPr>
            <w:tcW w:w="928" w:type="dxa"/>
            <w:tcMar>
              <w:top w:w="15" w:type="dxa"/>
              <w:left w:w="15" w:type="dxa"/>
              <w:right w:w="15" w:type="dxa"/>
            </w:tcMar>
          </w:tcPr>
          <w:p w14:paraId="0F4A06DF" w14:textId="14E0BA93" w:rsidR="1AD35086" w:rsidRDefault="1AD35086" w:rsidP="7619FE80">
            <w:pPr>
              <w:spacing w:after="0"/>
              <w:jc w:val="right"/>
              <w:rPr>
                <w:rFonts w:ascii="Mirador" w:eastAsia="Mirador" w:hAnsi="Mirador" w:cs="Mirador"/>
                <w:b/>
                <w:bCs/>
                <w:color w:val="000000" w:themeColor="text1"/>
                <w:sz w:val="20"/>
                <w:szCs w:val="20"/>
              </w:rPr>
            </w:pPr>
            <w:r w:rsidRPr="7619FE80">
              <w:rPr>
                <w:rFonts w:ascii="Mirador" w:eastAsia="Mirador" w:hAnsi="Mirador" w:cs="Mirador"/>
                <w:b/>
                <w:bCs/>
                <w:color w:val="000000" w:themeColor="text1"/>
                <w:sz w:val="20"/>
                <w:szCs w:val="20"/>
              </w:rPr>
              <w:t>Ponderación (%)</w:t>
            </w:r>
          </w:p>
        </w:tc>
        <w:tc>
          <w:tcPr>
            <w:tcW w:w="6735" w:type="dxa"/>
            <w:tcMar>
              <w:top w:w="15" w:type="dxa"/>
              <w:left w:w="15" w:type="dxa"/>
              <w:right w:w="15" w:type="dxa"/>
            </w:tcMar>
          </w:tcPr>
          <w:p w14:paraId="631D468A" w14:textId="6CA1C80D" w:rsidR="1AD35086" w:rsidRDefault="1AD35086" w:rsidP="7619FE80">
            <w:pPr>
              <w:spacing w:after="0"/>
              <w:rPr>
                <w:rFonts w:ascii="Mirador" w:eastAsia="Mirador" w:hAnsi="Mirador" w:cs="Mirador"/>
                <w:b/>
                <w:bCs/>
                <w:color w:val="000000" w:themeColor="text1"/>
                <w:sz w:val="20"/>
                <w:szCs w:val="20"/>
              </w:rPr>
            </w:pPr>
            <w:r w:rsidRPr="7619FE80">
              <w:rPr>
                <w:rFonts w:ascii="Mirador" w:eastAsia="Mirador" w:hAnsi="Mirador" w:cs="Mirador"/>
                <w:b/>
                <w:bCs/>
                <w:color w:val="000000" w:themeColor="text1"/>
                <w:sz w:val="20"/>
                <w:szCs w:val="20"/>
              </w:rPr>
              <w:t>Descripción/Aspectos a Evaluar</w:t>
            </w:r>
          </w:p>
        </w:tc>
      </w:tr>
      <w:tr w:rsidR="1AD35086" w14:paraId="05514173" w14:textId="77777777" w:rsidTr="5FF7BB37">
        <w:trPr>
          <w:trHeight w:val="300"/>
          <w:jc w:val="center"/>
        </w:trPr>
        <w:tc>
          <w:tcPr>
            <w:tcW w:w="1965" w:type="dxa"/>
            <w:vMerge w:val="restart"/>
            <w:tcMar>
              <w:top w:w="15" w:type="dxa"/>
              <w:left w:w="15" w:type="dxa"/>
              <w:right w:w="15" w:type="dxa"/>
            </w:tcMar>
            <w:vAlign w:val="center"/>
          </w:tcPr>
          <w:p w14:paraId="0761756F" w14:textId="22044F64"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1. Propuesta Técnica del Sistema de Proyección</w:t>
            </w:r>
          </w:p>
        </w:tc>
        <w:tc>
          <w:tcPr>
            <w:tcW w:w="3065" w:type="dxa"/>
            <w:tcMar>
              <w:top w:w="15" w:type="dxa"/>
              <w:left w:w="15" w:type="dxa"/>
              <w:right w:w="15" w:type="dxa"/>
            </w:tcMar>
          </w:tcPr>
          <w:p w14:paraId="09FB9A94" w14:textId="3049398A"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Descripción general del sistema (tecnología, proyección, sonido, computacional)</w:t>
            </w:r>
          </w:p>
        </w:tc>
        <w:tc>
          <w:tcPr>
            <w:tcW w:w="928" w:type="dxa"/>
            <w:tcMar>
              <w:top w:w="15" w:type="dxa"/>
              <w:left w:w="15" w:type="dxa"/>
              <w:right w:w="15" w:type="dxa"/>
            </w:tcMar>
          </w:tcPr>
          <w:p w14:paraId="72BFD6E4" w14:textId="37E4B294" w:rsidR="1AD35086" w:rsidRDefault="37BDC716" w:rsidP="55EB905F">
            <w:pPr>
              <w:spacing w:after="0"/>
              <w:jc w:val="right"/>
              <w:rPr>
                <w:rFonts w:ascii="Mirador" w:eastAsia="Mirador" w:hAnsi="Mirador" w:cs="Mirador"/>
                <w:color w:val="000000" w:themeColor="text1"/>
                <w:sz w:val="20"/>
                <w:szCs w:val="20"/>
              </w:rPr>
            </w:pPr>
            <w:r w:rsidRPr="55EB905F">
              <w:rPr>
                <w:rFonts w:ascii="Mirador" w:eastAsia="Mirador" w:hAnsi="Mirador" w:cs="Mirador"/>
                <w:color w:val="000000" w:themeColor="text1"/>
                <w:sz w:val="20"/>
                <w:szCs w:val="20"/>
              </w:rPr>
              <w:t>20</w:t>
            </w:r>
            <w:r w:rsidR="1AD35086" w:rsidRPr="55EB905F">
              <w:rPr>
                <w:rFonts w:ascii="Mirador" w:eastAsia="Mirador" w:hAnsi="Mirador" w:cs="Mirador"/>
                <w:color w:val="000000" w:themeColor="text1"/>
                <w:sz w:val="20"/>
                <w:szCs w:val="20"/>
              </w:rPr>
              <w:t>%</w:t>
            </w:r>
          </w:p>
        </w:tc>
        <w:tc>
          <w:tcPr>
            <w:tcW w:w="6735" w:type="dxa"/>
            <w:tcMar>
              <w:top w:w="15" w:type="dxa"/>
              <w:left w:w="15" w:type="dxa"/>
              <w:right w:w="15" w:type="dxa"/>
            </w:tcMar>
          </w:tcPr>
          <w:p w14:paraId="45F5A1E4" w14:textId="7671CF85"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 xml:space="preserve">Claridad, detalle técnico, innovación y adecuación de la tecnología propuesta a los objetivos del domo </w:t>
            </w:r>
            <w:proofErr w:type="spellStart"/>
            <w:r w:rsidRPr="7619FE80">
              <w:rPr>
                <w:rFonts w:ascii="Mirador" w:eastAsia="Mirador" w:hAnsi="Mirador" w:cs="Mirador"/>
                <w:color w:val="000000" w:themeColor="text1"/>
                <w:sz w:val="20"/>
                <w:szCs w:val="20"/>
              </w:rPr>
              <w:t>inmersivo</w:t>
            </w:r>
            <w:proofErr w:type="spellEnd"/>
            <w:r w:rsidRPr="7619FE80">
              <w:rPr>
                <w:rFonts w:ascii="Mirador" w:eastAsia="Mirador" w:hAnsi="Mirador" w:cs="Mirador"/>
                <w:color w:val="000000" w:themeColor="text1"/>
                <w:sz w:val="20"/>
                <w:szCs w:val="20"/>
              </w:rPr>
              <w:t>. Se valorará la justificación de la elección tecnológica.</w:t>
            </w:r>
          </w:p>
        </w:tc>
      </w:tr>
      <w:tr w:rsidR="1AD35086" w14:paraId="540A8940" w14:textId="77777777" w:rsidTr="5FF7BB37">
        <w:trPr>
          <w:trHeight w:val="300"/>
          <w:jc w:val="center"/>
        </w:trPr>
        <w:tc>
          <w:tcPr>
            <w:tcW w:w="1965" w:type="dxa"/>
            <w:vMerge/>
            <w:vAlign w:val="center"/>
          </w:tcPr>
          <w:p w14:paraId="09CAB337" w14:textId="77777777" w:rsidR="007A7BF2" w:rsidRDefault="007A7BF2"/>
        </w:tc>
        <w:tc>
          <w:tcPr>
            <w:tcW w:w="3065" w:type="dxa"/>
            <w:tcMar>
              <w:top w:w="15" w:type="dxa"/>
              <w:left w:w="15" w:type="dxa"/>
              <w:right w:w="15" w:type="dxa"/>
            </w:tcMar>
          </w:tcPr>
          <w:p w14:paraId="77678FA6" w14:textId="5BA39AD3" w:rsidR="1AD35086" w:rsidRDefault="259B2BCE" w:rsidP="363EF5C6">
            <w:pPr>
              <w:spacing w:after="0"/>
              <w:rPr>
                <w:rFonts w:ascii="Mirador" w:eastAsia="Mirador" w:hAnsi="Mirador" w:cs="Mirador"/>
                <w:sz w:val="20"/>
                <w:szCs w:val="20"/>
              </w:rPr>
            </w:pPr>
            <w:r w:rsidRPr="363EF5C6">
              <w:rPr>
                <w:rFonts w:ascii="Mirador" w:eastAsia="Mirador" w:hAnsi="Mirador" w:cs="Mirador"/>
                <w:color w:val="000000" w:themeColor="text1"/>
                <w:sz w:val="19"/>
                <w:szCs w:val="19"/>
              </w:rPr>
              <w:t xml:space="preserve"> Esquema general del sistema de proyección</w:t>
            </w:r>
          </w:p>
        </w:tc>
        <w:tc>
          <w:tcPr>
            <w:tcW w:w="928" w:type="dxa"/>
            <w:tcMar>
              <w:top w:w="15" w:type="dxa"/>
              <w:left w:w="15" w:type="dxa"/>
              <w:right w:w="15" w:type="dxa"/>
            </w:tcMar>
          </w:tcPr>
          <w:p w14:paraId="67DA0F6A" w14:textId="2E77804C" w:rsidR="1AD35086" w:rsidRDefault="5B37CFAF" w:rsidP="55EB905F">
            <w:pPr>
              <w:spacing w:after="0"/>
              <w:jc w:val="right"/>
              <w:rPr>
                <w:rFonts w:ascii="Mirador" w:eastAsia="Mirador" w:hAnsi="Mirador" w:cs="Mirador"/>
                <w:color w:val="000000" w:themeColor="text1"/>
                <w:sz w:val="20"/>
                <w:szCs w:val="20"/>
              </w:rPr>
            </w:pPr>
            <w:r w:rsidRPr="55EB905F">
              <w:rPr>
                <w:rFonts w:ascii="Mirador" w:eastAsia="Mirador" w:hAnsi="Mirador" w:cs="Mirador"/>
                <w:color w:val="000000" w:themeColor="text1"/>
                <w:sz w:val="20"/>
                <w:szCs w:val="20"/>
              </w:rPr>
              <w:t>10</w:t>
            </w:r>
            <w:r w:rsidR="1AD35086" w:rsidRPr="55EB905F">
              <w:rPr>
                <w:rFonts w:ascii="Mirador" w:eastAsia="Mirador" w:hAnsi="Mirador" w:cs="Mirador"/>
                <w:color w:val="000000" w:themeColor="text1"/>
                <w:sz w:val="20"/>
                <w:szCs w:val="20"/>
              </w:rPr>
              <w:t>%</w:t>
            </w:r>
          </w:p>
        </w:tc>
        <w:tc>
          <w:tcPr>
            <w:tcW w:w="6735" w:type="dxa"/>
            <w:tcMar>
              <w:top w:w="15" w:type="dxa"/>
              <w:left w:w="15" w:type="dxa"/>
              <w:right w:w="15" w:type="dxa"/>
            </w:tcMar>
          </w:tcPr>
          <w:p w14:paraId="52C98EE4" w14:textId="5FD0AC06"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 xml:space="preserve">Claridad y </w:t>
            </w:r>
            <w:r w:rsidR="1FBF367B" w:rsidRPr="7619FE80">
              <w:rPr>
                <w:rFonts w:ascii="Mirador" w:eastAsia="Mirador" w:hAnsi="Mirador" w:cs="Mirador"/>
                <w:color w:val="000000" w:themeColor="text1"/>
                <w:sz w:val="20"/>
                <w:szCs w:val="20"/>
              </w:rPr>
              <w:t>comprensibilidad</w:t>
            </w:r>
            <w:r w:rsidRPr="7619FE80">
              <w:rPr>
                <w:rFonts w:ascii="Mirador" w:eastAsia="Mirador" w:hAnsi="Mirador" w:cs="Mirador"/>
                <w:color w:val="000000" w:themeColor="text1"/>
                <w:sz w:val="20"/>
                <w:szCs w:val="20"/>
              </w:rPr>
              <w:t xml:space="preserve"> del esquema, identificación de componentes y sus interconexiones.</w:t>
            </w:r>
          </w:p>
        </w:tc>
      </w:tr>
      <w:tr w:rsidR="1AD35086" w14:paraId="5EAB7320" w14:textId="77777777" w:rsidTr="5FF7BB37">
        <w:trPr>
          <w:trHeight w:val="300"/>
          <w:jc w:val="center"/>
        </w:trPr>
        <w:tc>
          <w:tcPr>
            <w:tcW w:w="1965" w:type="dxa"/>
            <w:vMerge/>
            <w:vAlign w:val="center"/>
          </w:tcPr>
          <w:p w14:paraId="2B35D946" w14:textId="77777777" w:rsidR="007A7BF2" w:rsidRDefault="007A7BF2"/>
        </w:tc>
        <w:tc>
          <w:tcPr>
            <w:tcW w:w="3065" w:type="dxa"/>
            <w:tcMar>
              <w:top w:w="15" w:type="dxa"/>
              <w:left w:w="15" w:type="dxa"/>
              <w:right w:w="15" w:type="dxa"/>
            </w:tcMar>
          </w:tcPr>
          <w:p w14:paraId="0838F173" w14:textId="4EC91C25"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Listado de equipos y componentes (especificaciones, marca, modelo)</w:t>
            </w:r>
          </w:p>
        </w:tc>
        <w:tc>
          <w:tcPr>
            <w:tcW w:w="928" w:type="dxa"/>
            <w:tcMar>
              <w:top w:w="15" w:type="dxa"/>
              <w:left w:w="15" w:type="dxa"/>
              <w:right w:w="15" w:type="dxa"/>
            </w:tcMar>
          </w:tcPr>
          <w:p w14:paraId="4B21AF40" w14:textId="6CD1BD11" w:rsidR="1AD35086" w:rsidRDefault="1AD35086" w:rsidP="7619FE80">
            <w:pPr>
              <w:spacing w:after="0"/>
              <w:jc w:val="right"/>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15%</w:t>
            </w:r>
          </w:p>
        </w:tc>
        <w:tc>
          <w:tcPr>
            <w:tcW w:w="6735" w:type="dxa"/>
            <w:tcMar>
              <w:top w:w="15" w:type="dxa"/>
              <w:left w:w="15" w:type="dxa"/>
              <w:right w:w="15" w:type="dxa"/>
            </w:tcMar>
          </w:tcPr>
          <w:p w14:paraId="47A12D74" w14:textId="5F855DFA"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Detalle, precisión y relevancia de las especificaciones técnicas. Se valorará la calidad y reconocimiento de las marcas y modelos propuestos.</w:t>
            </w:r>
          </w:p>
        </w:tc>
      </w:tr>
      <w:tr w:rsidR="1AD35086" w14:paraId="2F9BCF4B" w14:textId="77777777" w:rsidTr="5FF7BB37">
        <w:trPr>
          <w:trHeight w:val="300"/>
          <w:jc w:val="center"/>
        </w:trPr>
        <w:tc>
          <w:tcPr>
            <w:tcW w:w="1965" w:type="dxa"/>
            <w:vMerge/>
            <w:vAlign w:val="center"/>
          </w:tcPr>
          <w:p w14:paraId="4CFE3AAD" w14:textId="77777777" w:rsidR="007A7BF2" w:rsidRDefault="007A7BF2"/>
        </w:tc>
        <w:tc>
          <w:tcPr>
            <w:tcW w:w="3065" w:type="dxa"/>
            <w:tcMar>
              <w:top w:w="15" w:type="dxa"/>
              <w:left w:w="15" w:type="dxa"/>
              <w:right w:w="15" w:type="dxa"/>
            </w:tcMar>
          </w:tcPr>
          <w:p w14:paraId="24F1591C" w14:textId="3B2C5119"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Especificaciones de la cúpula de proyección (tecnología, fabricante)</w:t>
            </w:r>
          </w:p>
        </w:tc>
        <w:tc>
          <w:tcPr>
            <w:tcW w:w="928" w:type="dxa"/>
            <w:tcMar>
              <w:top w:w="15" w:type="dxa"/>
              <w:left w:w="15" w:type="dxa"/>
              <w:right w:w="15" w:type="dxa"/>
            </w:tcMar>
          </w:tcPr>
          <w:p w14:paraId="20B6867E" w14:textId="17C3E16F" w:rsidR="1AD35086" w:rsidRDefault="1AD35086" w:rsidP="7619FE80">
            <w:pPr>
              <w:spacing w:after="0"/>
              <w:jc w:val="right"/>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10%</w:t>
            </w:r>
          </w:p>
        </w:tc>
        <w:tc>
          <w:tcPr>
            <w:tcW w:w="6735" w:type="dxa"/>
            <w:tcMar>
              <w:top w:w="15" w:type="dxa"/>
              <w:left w:w="15" w:type="dxa"/>
              <w:right w:w="15" w:type="dxa"/>
            </w:tcMar>
          </w:tcPr>
          <w:p w14:paraId="4F2ED0B1" w14:textId="08D3D894"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Detalle técnico, calidad del fabricante y adecuación de la cúpula a los requerimientos del sistema de proyección y del espacio.</w:t>
            </w:r>
          </w:p>
        </w:tc>
      </w:tr>
      <w:tr w:rsidR="1AD35086" w14:paraId="7F059B26" w14:textId="77777777" w:rsidTr="5FF7BB37">
        <w:trPr>
          <w:trHeight w:val="300"/>
          <w:jc w:val="center"/>
        </w:trPr>
        <w:tc>
          <w:tcPr>
            <w:tcW w:w="1965" w:type="dxa"/>
            <w:vMerge w:val="restart"/>
            <w:tcMar>
              <w:top w:w="15" w:type="dxa"/>
              <w:left w:w="15" w:type="dxa"/>
              <w:right w:w="15" w:type="dxa"/>
            </w:tcMar>
            <w:vAlign w:val="center"/>
          </w:tcPr>
          <w:p w14:paraId="099A0C7A" w14:textId="68C151B2"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 xml:space="preserve">2. Propuesta Técnica de la Infraestructura </w:t>
            </w:r>
          </w:p>
        </w:tc>
        <w:tc>
          <w:tcPr>
            <w:tcW w:w="3065" w:type="dxa"/>
            <w:tcMar>
              <w:top w:w="15" w:type="dxa"/>
              <w:left w:w="15" w:type="dxa"/>
              <w:right w:w="15" w:type="dxa"/>
            </w:tcMar>
          </w:tcPr>
          <w:p w14:paraId="4BBE6371" w14:textId="7677ED85"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Diseño y especificaciones generales de la infraestructura (distribución, accesos, evacuación, iluminación, aire acondicionado)</w:t>
            </w:r>
          </w:p>
        </w:tc>
        <w:tc>
          <w:tcPr>
            <w:tcW w:w="928" w:type="dxa"/>
            <w:tcMar>
              <w:top w:w="15" w:type="dxa"/>
              <w:left w:w="15" w:type="dxa"/>
              <w:right w:w="15" w:type="dxa"/>
            </w:tcMar>
          </w:tcPr>
          <w:p w14:paraId="413C2DA6" w14:textId="6014FB3D" w:rsidR="1AD35086" w:rsidRDefault="275AF436" w:rsidP="55EB905F">
            <w:pPr>
              <w:spacing w:after="0"/>
              <w:jc w:val="right"/>
              <w:rPr>
                <w:rFonts w:ascii="Mirador" w:eastAsia="Mirador" w:hAnsi="Mirador" w:cs="Mirador"/>
                <w:color w:val="000000" w:themeColor="text1"/>
                <w:sz w:val="20"/>
                <w:szCs w:val="20"/>
              </w:rPr>
            </w:pPr>
            <w:r w:rsidRPr="55EB905F">
              <w:rPr>
                <w:rFonts w:ascii="Mirador" w:eastAsia="Mirador" w:hAnsi="Mirador" w:cs="Mirador"/>
                <w:color w:val="000000" w:themeColor="text1"/>
                <w:sz w:val="20"/>
                <w:szCs w:val="20"/>
              </w:rPr>
              <w:t>20</w:t>
            </w:r>
            <w:r w:rsidR="1AD35086" w:rsidRPr="55EB905F">
              <w:rPr>
                <w:rFonts w:ascii="Mirador" w:eastAsia="Mirador" w:hAnsi="Mirador" w:cs="Mirador"/>
                <w:color w:val="000000" w:themeColor="text1"/>
                <w:sz w:val="20"/>
                <w:szCs w:val="20"/>
              </w:rPr>
              <w:t>%</w:t>
            </w:r>
          </w:p>
        </w:tc>
        <w:tc>
          <w:tcPr>
            <w:tcW w:w="6735" w:type="dxa"/>
            <w:tcMar>
              <w:top w:w="15" w:type="dxa"/>
              <w:left w:w="15" w:type="dxa"/>
              <w:right w:w="15" w:type="dxa"/>
            </w:tcMar>
          </w:tcPr>
          <w:p w14:paraId="63CB57A2" w14:textId="336A43F7"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Calidad del diseño, cumplimiento de normativas de seguridad y accesibilidad, eficiencia de la distribución de los componentes.</w:t>
            </w:r>
          </w:p>
        </w:tc>
      </w:tr>
      <w:tr w:rsidR="1AD35086" w14:paraId="694DD3AB" w14:textId="77777777" w:rsidTr="5FF7BB37">
        <w:trPr>
          <w:trHeight w:val="300"/>
          <w:jc w:val="center"/>
        </w:trPr>
        <w:tc>
          <w:tcPr>
            <w:tcW w:w="1965" w:type="dxa"/>
            <w:vMerge/>
            <w:vAlign w:val="center"/>
          </w:tcPr>
          <w:p w14:paraId="5513131B" w14:textId="77777777" w:rsidR="007A7BF2" w:rsidRDefault="007A7BF2"/>
        </w:tc>
        <w:tc>
          <w:tcPr>
            <w:tcW w:w="3065" w:type="dxa"/>
            <w:tcMar>
              <w:top w:w="15" w:type="dxa"/>
              <w:left w:w="15" w:type="dxa"/>
              <w:right w:w="15" w:type="dxa"/>
            </w:tcMar>
          </w:tcPr>
          <w:p w14:paraId="64A907F1" w14:textId="4EEAD994"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Metodología de diseño y construcción de la infraestructura</w:t>
            </w:r>
          </w:p>
        </w:tc>
        <w:tc>
          <w:tcPr>
            <w:tcW w:w="928" w:type="dxa"/>
            <w:tcMar>
              <w:top w:w="15" w:type="dxa"/>
              <w:left w:w="15" w:type="dxa"/>
              <w:right w:w="15" w:type="dxa"/>
            </w:tcMar>
          </w:tcPr>
          <w:p w14:paraId="6BA56EE4" w14:textId="7DEBA157" w:rsidR="1AD35086" w:rsidRDefault="1AD35086" w:rsidP="7619FE80">
            <w:pPr>
              <w:spacing w:after="0"/>
              <w:jc w:val="right"/>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10%</w:t>
            </w:r>
          </w:p>
        </w:tc>
        <w:tc>
          <w:tcPr>
            <w:tcW w:w="6735" w:type="dxa"/>
            <w:tcMar>
              <w:top w:w="15" w:type="dxa"/>
              <w:left w:w="15" w:type="dxa"/>
              <w:right w:w="15" w:type="dxa"/>
            </w:tcMar>
          </w:tcPr>
          <w:p w14:paraId="76CBAE11" w14:textId="48444DAC"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Lógica, coherencia, detalle y viabilidad de la metodología propuesta para el diseño y construcción de la infraestructura.</w:t>
            </w:r>
          </w:p>
        </w:tc>
      </w:tr>
      <w:tr w:rsidR="1AD35086" w14:paraId="5E64E190" w14:textId="77777777" w:rsidTr="5FF7BB37">
        <w:trPr>
          <w:trHeight w:val="300"/>
          <w:jc w:val="center"/>
        </w:trPr>
        <w:tc>
          <w:tcPr>
            <w:tcW w:w="1965" w:type="dxa"/>
            <w:tcMar>
              <w:top w:w="15" w:type="dxa"/>
              <w:left w:w="15" w:type="dxa"/>
              <w:right w:w="15" w:type="dxa"/>
            </w:tcMar>
            <w:vAlign w:val="center"/>
          </w:tcPr>
          <w:p w14:paraId="66EF39CE" w14:textId="72535D4E"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3. Plan de Trabajo y Plazos</w:t>
            </w:r>
          </w:p>
        </w:tc>
        <w:tc>
          <w:tcPr>
            <w:tcW w:w="3065" w:type="dxa"/>
            <w:tcMar>
              <w:top w:w="15" w:type="dxa"/>
              <w:left w:w="15" w:type="dxa"/>
              <w:right w:w="15" w:type="dxa"/>
            </w:tcMar>
          </w:tcPr>
          <w:p w14:paraId="1C52DEAE" w14:textId="29CA4AF4"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Carta Gantt detallada (partidas, plazos de ejecución)</w:t>
            </w:r>
          </w:p>
        </w:tc>
        <w:tc>
          <w:tcPr>
            <w:tcW w:w="928" w:type="dxa"/>
            <w:tcMar>
              <w:top w:w="15" w:type="dxa"/>
              <w:left w:w="15" w:type="dxa"/>
              <w:right w:w="15" w:type="dxa"/>
            </w:tcMar>
          </w:tcPr>
          <w:p w14:paraId="43614456" w14:textId="0BDD55C1" w:rsidR="1AD35086" w:rsidRDefault="1AD35086" w:rsidP="7619FE80">
            <w:pPr>
              <w:spacing w:after="0"/>
              <w:jc w:val="right"/>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15%</w:t>
            </w:r>
          </w:p>
        </w:tc>
        <w:tc>
          <w:tcPr>
            <w:tcW w:w="6735" w:type="dxa"/>
            <w:tcMar>
              <w:top w:w="15" w:type="dxa"/>
              <w:left w:w="15" w:type="dxa"/>
              <w:right w:w="15" w:type="dxa"/>
            </w:tcMar>
          </w:tcPr>
          <w:p w14:paraId="6BD0CBC7" w14:textId="2F539DF3" w:rsidR="1AD35086" w:rsidRDefault="1AD35086" w:rsidP="7619FE80">
            <w:pPr>
              <w:spacing w:after="0"/>
              <w:rPr>
                <w:rFonts w:ascii="Mirador" w:eastAsia="Mirador" w:hAnsi="Mirador" w:cs="Mirador"/>
                <w:color w:val="000000" w:themeColor="text1"/>
                <w:sz w:val="20"/>
                <w:szCs w:val="20"/>
              </w:rPr>
            </w:pPr>
            <w:r w:rsidRPr="7619FE80">
              <w:rPr>
                <w:rFonts w:ascii="Mirador" w:eastAsia="Mirador" w:hAnsi="Mirador" w:cs="Mirador"/>
                <w:color w:val="000000" w:themeColor="text1"/>
                <w:sz w:val="20"/>
                <w:szCs w:val="20"/>
              </w:rPr>
              <w:t>Nivel de detalle de las partidas, lógica de la secuencia de actividades, realismo de los plazos propuestos para cada partida y el plazo total.</w:t>
            </w:r>
          </w:p>
        </w:tc>
        <w:bookmarkStart w:id="0" w:name="_GoBack"/>
        <w:bookmarkEnd w:id="0"/>
      </w:tr>
      <w:tr w:rsidR="1AD35086" w14:paraId="21EB802E" w14:textId="77777777" w:rsidTr="5FF7BB37">
        <w:trPr>
          <w:trHeight w:val="300"/>
          <w:jc w:val="center"/>
        </w:trPr>
        <w:tc>
          <w:tcPr>
            <w:tcW w:w="1965" w:type="dxa"/>
            <w:tcMar>
              <w:top w:w="15" w:type="dxa"/>
              <w:left w:w="15" w:type="dxa"/>
              <w:right w:w="15" w:type="dxa"/>
            </w:tcMar>
          </w:tcPr>
          <w:p w14:paraId="53728D07" w14:textId="4CE56A61" w:rsidR="1AD35086" w:rsidRDefault="1AD35086" w:rsidP="79F196FC">
            <w:pPr>
              <w:spacing w:after="0"/>
              <w:rPr>
                <w:rFonts w:ascii="Mirador" w:eastAsia="Mirador" w:hAnsi="Mirador" w:cs="Mirador"/>
                <w:b/>
                <w:bCs/>
                <w:color w:val="000000" w:themeColor="text1"/>
                <w:sz w:val="20"/>
                <w:szCs w:val="20"/>
              </w:rPr>
            </w:pPr>
            <w:r w:rsidRPr="79F196FC">
              <w:rPr>
                <w:rFonts w:ascii="Mirador" w:eastAsia="Mirador" w:hAnsi="Mirador" w:cs="Mirador"/>
                <w:b/>
                <w:bCs/>
                <w:color w:val="000000" w:themeColor="text1"/>
                <w:sz w:val="20"/>
                <w:szCs w:val="20"/>
              </w:rPr>
              <w:t>Total</w:t>
            </w:r>
          </w:p>
        </w:tc>
        <w:tc>
          <w:tcPr>
            <w:tcW w:w="3065" w:type="dxa"/>
            <w:tcMar>
              <w:top w:w="15" w:type="dxa"/>
              <w:left w:w="15" w:type="dxa"/>
              <w:right w:w="15" w:type="dxa"/>
            </w:tcMar>
          </w:tcPr>
          <w:p w14:paraId="00BEE455" w14:textId="0073A3D0" w:rsidR="1AD35086" w:rsidRDefault="1AD35086" w:rsidP="79F196FC">
            <w:pPr>
              <w:rPr>
                <w:rFonts w:ascii="Mirador" w:eastAsia="Mirador" w:hAnsi="Mirador" w:cs="Mirador"/>
                <w:sz w:val="20"/>
                <w:szCs w:val="20"/>
              </w:rPr>
            </w:pPr>
          </w:p>
        </w:tc>
        <w:tc>
          <w:tcPr>
            <w:tcW w:w="928" w:type="dxa"/>
            <w:tcMar>
              <w:top w:w="15" w:type="dxa"/>
              <w:left w:w="15" w:type="dxa"/>
              <w:right w:w="15" w:type="dxa"/>
            </w:tcMar>
          </w:tcPr>
          <w:p w14:paraId="5C6753F2" w14:textId="5169163E" w:rsidR="1AD35086" w:rsidRDefault="1AD35086" w:rsidP="79F196FC">
            <w:pPr>
              <w:spacing w:after="0"/>
              <w:jc w:val="right"/>
              <w:rPr>
                <w:rFonts w:ascii="Mirador" w:eastAsia="Mirador" w:hAnsi="Mirador" w:cs="Mirador"/>
                <w:b/>
                <w:bCs/>
                <w:color w:val="000000" w:themeColor="text1"/>
                <w:sz w:val="20"/>
                <w:szCs w:val="20"/>
              </w:rPr>
            </w:pPr>
            <w:r w:rsidRPr="79F196FC">
              <w:rPr>
                <w:rFonts w:ascii="Mirador" w:eastAsia="Mirador" w:hAnsi="Mirador" w:cs="Mirador"/>
                <w:b/>
                <w:bCs/>
                <w:color w:val="000000" w:themeColor="text1"/>
                <w:sz w:val="20"/>
                <w:szCs w:val="20"/>
              </w:rPr>
              <w:t>100%</w:t>
            </w:r>
          </w:p>
        </w:tc>
        <w:tc>
          <w:tcPr>
            <w:tcW w:w="6735" w:type="dxa"/>
            <w:tcMar>
              <w:top w:w="15" w:type="dxa"/>
              <w:left w:w="15" w:type="dxa"/>
              <w:right w:w="15" w:type="dxa"/>
            </w:tcMar>
          </w:tcPr>
          <w:p w14:paraId="5D6A8380" w14:textId="11C2E1DF" w:rsidR="1AD35086" w:rsidRDefault="1AD35086" w:rsidP="79F196FC">
            <w:pPr>
              <w:rPr>
                <w:rFonts w:ascii="Mirador" w:eastAsia="Mirador" w:hAnsi="Mirador" w:cs="Mirador"/>
                <w:sz w:val="20"/>
                <w:szCs w:val="20"/>
              </w:rPr>
            </w:pPr>
          </w:p>
        </w:tc>
      </w:tr>
    </w:tbl>
    <w:p w14:paraId="3DEEC669" w14:textId="16EF5195" w:rsidR="00485DCC" w:rsidRDefault="00485DCC" w:rsidP="79F196FC">
      <w:pPr>
        <w:rPr>
          <w:rFonts w:ascii="Mirador" w:eastAsia="Mirador" w:hAnsi="Mirador" w:cs="Mirador"/>
          <w:b/>
          <w:bCs/>
          <w:sz w:val="20"/>
          <w:szCs w:val="20"/>
          <w:lang w:val="es-ES"/>
        </w:rPr>
      </w:pPr>
    </w:p>
    <w:p w14:paraId="3656B9AB" w14:textId="728296A9" w:rsidR="00485DCC" w:rsidRDefault="304A465B" w:rsidP="79F196FC">
      <w:pPr>
        <w:ind w:right="90"/>
        <w:rPr>
          <w:rFonts w:ascii="Mirador" w:eastAsia="Mirador" w:hAnsi="Mirador" w:cs="Mirador"/>
          <w:b/>
          <w:bCs/>
          <w:sz w:val="20"/>
          <w:szCs w:val="20"/>
        </w:rPr>
      </w:pPr>
      <w:r w:rsidRPr="79F196FC">
        <w:rPr>
          <w:rFonts w:ascii="Mirador" w:eastAsia="Mirador" w:hAnsi="Mirador" w:cs="Mirador"/>
          <w:b/>
          <w:bCs/>
          <w:sz w:val="20"/>
          <w:szCs w:val="20"/>
        </w:rPr>
        <w:t xml:space="preserve">Puntaje final: (Puntaje parcial X </w:t>
      </w:r>
      <w:proofErr w:type="gramStart"/>
      <w:r w:rsidRPr="79F196FC">
        <w:rPr>
          <w:rFonts w:ascii="Mirador" w:eastAsia="Mirador" w:hAnsi="Mirador" w:cs="Mirador"/>
          <w:b/>
          <w:bCs/>
          <w:sz w:val="20"/>
          <w:szCs w:val="20"/>
        </w:rPr>
        <w:t xml:space="preserve">Ponderación </w:t>
      </w:r>
      <w:r w:rsidR="17011E62" w:rsidRPr="79F196FC">
        <w:rPr>
          <w:rFonts w:ascii="Mirador" w:eastAsia="Mirador" w:hAnsi="Mirador" w:cs="Mirador"/>
          <w:b/>
          <w:bCs/>
          <w:sz w:val="20"/>
          <w:szCs w:val="20"/>
        </w:rPr>
        <w:t>)</w:t>
      </w:r>
      <w:proofErr w:type="gramEnd"/>
      <w:r w:rsidR="17011E62" w:rsidRPr="79F196FC">
        <w:rPr>
          <w:rFonts w:ascii="Mirador" w:eastAsia="Mirador" w:hAnsi="Mirador" w:cs="Mirador"/>
          <w:b/>
          <w:bCs/>
          <w:sz w:val="20"/>
          <w:szCs w:val="20"/>
        </w:rPr>
        <w:t xml:space="preserve"> X 100</w:t>
      </w:r>
    </w:p>
    <w:p w14:paraId="7679E0FB" w14:textId="7B247B15" w:rsidR="7619FE80" w:rsidRDefault="7619FE80" w:rsidP="79F196FC">
      <w:pPr>
        <w:ind w:right="90"/>
        <w:rPr>
          <w:rFonts w:ascii="Mirador" w:eastAsia="Mirador" w:hAnsi="Mirador" w:cs="Mirador"/>
          <w:b/>
          <w:bCs/>
          <w:sz w:val="20"/>
          <w:szCs w:val="20"/>
          <w:lang w:val="es-ES"/>
        </w:rPr>
      </w:pPr>
    </w:p>
    <w:p w14:paraId="1BDECEAF" w14:textId="1D8BF08C" w:rsidR="00485DCC" w:rsidRPr="00485DCC" w:rsidRDefault="17011E62" w:rsidP="79F196FC">
      <w:pPr>
        <w:ind w:right="90"/>
        <w:rPr>
          <w:rFonts w:ascii="Mirador" w:eastAsia="Mirador" w:hAnsi="Mirador" w:cs="Mirador"/>
          <w:sz w:val="20"/>
          <w:szCs w:val="20"/>
        </w:rPr>
      </w:pPr>
      <w:r w:rsidRPr="79F196FC">
        <w:rPr>
          <w:rFonts w:ascii="Mirador" w:eastAsia="Mirador" w:hAnsi="Mirador" w:cs="Mirador"/>
          <w:sz w:val="20"/>
          <w:szCs w:val="20"/>
        </w:rPr>
        <w:lastRenderedPageBreak/>
        <w:t xml:space="preserve">Cada </w:t>
      </w:r>
      <w:proofErr w:type="spellStart"/>
      <w:r w:rsidRPr="79F196FC">
        <w:rPr>
          <w:rFonts w:ascii="Mirador" w:eastAsia="Mirador" w:hAnsi="Mirador" w:cs="Mirador"/>
          <w:sz w:val="20"/>
          <w:szCs w:val="20"/>
        </w:rPr>
        <w:t>subcriterio</w:t>
      </w:r>
      <w:proofErr w:type="spellEnd"/>
      <w:r w:rsidRPr="79F196FC">
        <w:rPr>
          <w:rFonts w:ascii="Mirador" w:eastAsia="Mirador" w:hAnsi="Mirador" w:cs="Mirador"/>
          <w:sz w:val="20"/>
          <w:szCs w:val="20"/>
        </w:rPr>
        <w:t xml:space="preserve"> se evaluará en base a una escala de 0 a 5, donde la escala </w:t>
      </w:r>
      <w:r w:rsidR="7038AC53" w:rsidRPr="79F196FC">
        <w:rPr>
          <w:rFonts w:ascii="Mirador" w:eastAsia="Mirador" w:hAnsi="Mirador" w:cs="Mirador"/>
          <w:sz w:val="20"/>
          <w:szCs w:val="20"/>
        </w:rPr>
        <w:t xml:space="preserve">de calificaciones </w:t>
      </w:r>
      <w:r w:rsidRPr="79F196FC">
        <w:rPr>
          <w:rFonts w:ascii="Mirador" w:eastAsia="Mirador" w:hAnsi="Mirador" w:cs="Mirador"/>
          <w:sz w:val="20"/>
          <w:szCs w:val="20"/>
        </w:rPr>
        <w:t xml:space="preserve">está definida </w:t>
      </w:r>
      <w:r w:rsidR="4B9E164A" w:rsidRPr="79F196FC">
        <w:rPr>
          <w:rFonts w:ascii="Mirador" w:eastAsia="Mirador" w:hAnsi="Mirador" w:cs="Mirador"/>
          <w:sz w:val="20"/>
          <w:szCs w:val="20"/>
        </w:rPr>
        <w:t>de acuerdo con el</w:t>
      </w:r>
      <w:r w:rsidR="63EBC342" w:rsidRPr="79F196FC">
        <w:rPr>
          <w:rFonts w:ascii="Mirador" w:eastAsia="Mirador" w:hAnsi="Mirador" w:cs="Mirador"/>
          <w:sz w:val="20"/>
          <w:szCs w:val="20"/>
        </w:rPr>
        <w:t xml:space="preserve"> siguiente significado y alcance: </w:t>
      </w:r>
    </w:p>
    <w:p w14:paraId="029DE935" w14:textId="0D13A449" w:rsidR="00485DCC" w:rsidRPr="00485DCC" w:rsidRDefault="00485DCC" w:rsidP="79F196FC">
      <w:pPr>
        <w:ind w:right="90"/>
        <w:rPr>
          <w:rFonts w:ascii="Mirador" w:eastAsia="Mirador" w:hAnsi="Mirador" w:cs="Mirador"/>
          <w:sz w:val="20"/>
          <w:szCs w:val="20"/>
        </w:rPr>
      </w:pPr>
    </w:p>
    <w:p w14:paraId="28EE9600" w14:textId="42BF41CC" w:rsidR="00485DCC" w:rsidRPr="00485DCC" w:rsidRDefault="00485DCC" w:rsidP="79F196FC">
      <w:pPr>
        <w:ind w:right="90"/>
        <w:rPr>
          <w:rFonts w:ascii="Mirador" w:eastAsia="Mirador" w:hAnsi="Mirador" w:cs="Mirador"/>
          <w:sz w:val="20"/>
          <w:szCs w:val="20"/>
          <w:lang w:val="es-ES"/>
        </w:rPr>
      </w:pPr>
      <w:r w:rsidRPr="79F196FC">
        <w:rPr>
          <w:rFonts w:ascii="Mirador" w:eastAsia="Mirador" w:hAnsi="Mirador" w:cs="Mirador"/>
          <w:b/>
          <w:bCs/>
          <w:sz w:val="20"/>
          <w:szCs w:val="20"/>
          <w:lang w:val="es-ES"/>
        </w:rPr>
        <w:t xml:space="preserve">Calificación 0 (Cero): </w:t>
      </w:r>
      <w:r w:rsidRPr="79F196FC">
        <w:rPr>
          <w:rFonts w:ascii="Mirador" w:eastAsia="Mirador" w:hAnsi="Mirador" w:cs="Mirador"/>
          <w:sz w:val="20"/>
          <w:szCs w:val="20"/>
          <w:lang w:val="es-ES"/>
        </w:rPr>
        <w:t>No Cumplimiento Sustancial o Insuficiencia Manifiesta: Esta calificación se asignará cuando la propuesta incurra en omisiones graves, contenga información errónea de carácter fundamental, o bien, evidencie una falta de comprensión cabal de los requerimientos esenciales establecidos en las Bases de Licitación y sus Anexos. No se acredita, de manera alguna, la capacidad del oferente para satisfacer el criterio de evaluación en cuestión.</w:t>
      </w:r>
    </w:p>
    <w:p w14:paraId="6363EB9A" w14:textId="1FF74727" w:rsidR="00485DCC" w:rsidRPr="00485DCC" w:rsidRDefault="00485DCC" w:rsidP="79F196FC">
      <w:pPr>
        <w:ind w:right="90"/>
        <w:jc w:val="both"/>
        <w:rPr>
          <w:rFonts w:ascii="Mirador" w:eastAsia="Mirador" w:hAnsi="Mirador" w:cs="Mirador"/>
          <w:sz w:val="20"/>
          <w:szCs w:val="20"/>
          <w:lang w:val="es-ES"/>
        </w:rPr>
      </w:pPr>
      <w:r w:rsidRPr="79F196FC">
        <w:rPr>
          <w:rFonts w:ascii="Mirador" w:eastAsia="Mirador" w:hAnsi="Mirador" w:cs="Mirador"/>
          <w:b/>
          <w:bCs/>
          <w:sz w:val="20"/>
          <w:szCs w:val="20"/>
          <w:lang w:val="es-ES"/>
        </w:rPr>
        <w:t xml:space="preserve">Calificación 1 (Uno): </w:t>
      </w:r>
      <w:r w:rsidRPr="79F196FC">
        <w:rPr>
          <w:rFonts w:ascii="Mirador" w:eastAsia="Mirador" w:hAnsi="Mirador" w:cs="Mirador"/>
          <w:sz w:val="20"/>
          <w:szCs w:val="20"/>
          <w:lang w:val="es-ES"/>
        </w:rPr>
        <w:t xml:space="preserve">Cumplimiento Precario o Nivel de Desarrollo Rudimentario: Esta calificación se otorgará cuando la propuesta aborde el requisito de manera superficial, incompleta, ambigua o con un nivel de detalle que resulta claramente insuficiente para asegurar el cumplimiento efectivo de lo solicitado. Se denota una comprensión incipiente del aspecto evaluado, con deficiencias significativas que generan serias dudas sobre la idoneidad de la </w:t>
      </w:r>
      <w:r w:rsidR="3F8FF9F7" w:rsidRPr="79F196FC">
        <w:rPr>
          <w:rFonts w:ascii="Mirador" w:eastAsia="Mirador" w:hAnsi="Mirador" w:cs="Mirador"/>
          <w:sz w:val="20"/>
          <w:szCs w:val="20"/>
          <w:lang w:val="es-ES"/>
        </w:rPr>
        <w:t>propuesta</w:t>
      </w:r>
      <w:r w:rsidRPr="79F196FC">
        <w:rPr>
          <w:rFonts w:ascii="Mirador" w:eastAsia="Mirador" w:hAnsi="Mirador" w:cs="Mirador"/>
          <w:sz w:val="20"/>
          <w:szCs w:val="20"/>
          <w:lang w:val="es-ES"/>
        </w:rPr>
        <w:t>.</w:t>
      </w:r>
    </w:p>
    <w:p w14:paraId="39721B1B" w14:textId="77777777" w:rsidR="00485DCC" w:rsidRPr="00485DCC" w:rsidRDefault="00485DCC" w:rsidP="79F196FC">
      <w:pPr>
        <w:ind w:right="90"/>
        <w:jc w:val="both"/>
        <w:rPr>
          <w:rFonts w:ascii="Mirador" w:eastAsia="Mirador" w:hAnsi="Mirador" w:cs="Mirador"/>
          <w:sz w:val="20"/>
          <w:szCs w:val="20"/>
          <w:lang w:val="es-ES"/>
        </w:rPr>
      </w:pPr>
      <w:r w:rsidRPr="79F196FC">
        <w:rPr>
          <w:rFonts w:ascii="Mirador" w:eastAsia="Mirador" w:hAnsi="Mirador" w:cs="Mirador"/>
          <w:b/>
          <w:bCs/>
          <w:sz w:val="20"/>
          <w:szCs w:val="20"/>
          <w:lang w:val="es-ES"/>
        </w:rPr>
        <w:t xml:space="preserve">Calificación 2 (Dos): </w:t>
      </w:r>
      <w:r w:rsidRPr="79F196FC">
        <w:rPr>
          <w:rFonts w:ascii="Mirador" w:eastAsia="Mirador" w:hAnsi="Mirador" w:cs="Mirador"/>
          <w:sz w:val="20"/>
          <w:szCs w:val="20"/>
          <w:lang w:val="es-ES"/>
        </w:rPr>
        <w:t>Cumplimiento Parcial o Desarrollo Limitado: Esta calificación se aplicará cuando la propuesta cumpla de forma incompleta con el requisito, presentando carencias sustanciales en la información o en el nivel de desarrollo técnico. Se evidencia una comprensión básica del aspecto evaluado, pero se requiere un desarrollo considerable para alcanzar un nivel de cumplimiento satisfactorio. El cumplimiento parcial podría implicar riesgos o dificultades en la ejecución del proyecto.</w:t>
      </w:r>
    </w:p>
    <w:p w14:paraId="277C442E" w14:textId="77777777" w:rsidR="00485DCC" w:rsidRPr="00485DCC" w:rsidRDefault="00485DCC" w:rsidP="79F196FC">
      <w:pPr>
        <w:ind w:right="90"/>
        <w:jc w:val="both"/>
        <w:rPr>
          <w:rFonts w:ascii="Mirador" w:eastAsia="Mirador" w:hAnsi="Mirador" w:cs="Mirador"/>
          <w:sz w:val="20"/>
          <w:szCs w:val="20"/>
          <w:lang w:val="es-ES"/>
        </w:rPr>
      </w:pPr>
      <w:r w:rsidRPr="79F196FC">
        <w:rPr>
          <w:rFonts w:ascii="Mirador" w:eastAsia="Mirador" w:hAnsi="Mirador" w:cs="Mirador"/>
          <w:b/>
          <w:bCs/>
          <w:sz w:val="20"/>
          <w:szCs w:val="20"/>
          <w:lang w:val="es-ES"/>
        </w:rPr>
        <w:t>Calificación 3 (Tres):</w:t>
      </w:r>
      <w:r w:rsidRPr="79F196FC">
        <w:rPr>
          <w:rFonts w:ascii="Mirador" w:eastAsia="Mirador" w:hAnsi="Mirador" w:cs="Mirador"/>
          <w:sz w:val="20"/>
          <w:szCs w:val="20"/>
          <w:lang w:val="es-ES"/>
        </w:rPr>
        <w:t xml:space="preserve"> Cumplimiento Satisfactorio o Nivel de Desarrollo Adecuado: Esta calificación se conferirá cuando la propuesta aborde el requisito de manera suficiente, presentando información clara y con un nivel de detalle que permite colegir una comprensión adecuada del aspecto evaluado. Se acredita la capacidad del oferente para cumplir con el requerimiento de forma aceptable y dentro de los parámetros esperados.</w:t>
      </w:r>
    </w:p>
    <w:p w14:paraId="1D829C0A" w14:textId="77777777" w:rsidR="00485DCC" w:rsidRPr="00485DCC" w:rsidRDefault="00485DCC" w:rsidP="79F196FC">
      <w:pPr>
        <w:ind w:right="90"/>
        <w:jc w:val="both"/>
        <w:rPr>
          <w:rFonts w:ascii="Mirador" w:eastAsia="Mirador" w:hAnsi="Mirador" w:cs="Mirador"/>
          <w:sz w:val="20"/>
          <w:szCs w:val="20"/>
          <w:lang w:val="es-ES"/>
        </w:rPr>
      </w:pPr>
      <w:r w:rsidRPr="79F196FC">
        <w:rPr>
          <w:rFonts w:ascii="Mirador" w:eastAsia="Mirador" w:hAnsi="Mirador" w:cs="Mirador"/>
          <w:b/>
          <w:bCs/>
          <w:sz w:val="20"/>
          <w:szCs w:val="20"/>
          <w:lang w:val="es-ES"/>
        </w:rPr>
        <w:t xml:space="preserve">Calificación 4 (Cuatro): </w:t>
      </w:r>
      <w:r w:rsidRPr="79F196FC">
        <w:rPr>
          <w:rFonts w:ascii="Mirador" w:eastAsia="Mirador" w:hAnsi="Mirador" w:cs="Mirador"/>
          <w:sz w:val="20"/>
          <w:szCs w:val="20"/>
          <w:lang w:val="es-ES"/>
        </w:rPr>
        <w:t>Cumplimiento Notable o Nivel de Desarrollo Superior: Esta calificación se asignará cuando la propuesta cumpla con el requisito de manera completa, detallada y con un nivel de calidad que supera las expectativas mínimas establecidas. Se evidencia una comprensión profunda y exhaustiva del aspecto evaluado, proponiendo soluciones sólidas y bien fundamentadas que denotan un alto grado de competencia técnica y una elevada probabilidad de ejecución exitosa.</w:t>
      </w:r>
    </w:p>
    <w:p w14:paraId="4DDBEF00" w14:textId="77777777" w:rsidR="00485DCC" w:rsidRPr="00485DCC" w:rsidRDefault="00485DCC" w:rsidP="79F196FC">
      <w:pPr>
        <w:ind w:right="90"/>
        <w:jc w:val="both"/>
        <w:rPr>
          <w:rFonts w:ascii="Mirador" w:eastAsia="Mirador" w:hAnsi="Mirador" w:cs="Mirador"/>
          <w:sz w:val="20"/>
          <w:szCs w:val="20"/>
          <w:lang w:val="es-ES"/>
        </w:rPr>
      </w:pPr>
    </w:p>
    <w:p w14:paraId="18DDF744" w14:textId="77777777" w:rsidR="00485DCC" w:rsidRPr="00485DCC" w:rsidRDefault="00485DCC" w:rsidP="79F196FC">
      <w:pPr>
        <w:ind w:right="90"/>
        <w:jc w:val="both"/>
        <w:rPr>
          <w:rFonts w:ascii="Mirador" w:eastAsia="Mirador" w:hAnsi="Mirador" w:cs="Mirador"/>
          <w:sz w:val="20"/>
          <w:szCs w:val="20"/>
          <w:lang w:val="es-ES"/>
        </w:rPr>
      </w:pPr>
      <w:r w:rsidRPr="79F196FC">
        <w:rPr>
          <w:rFonts w:ascii="Mirador" w:eastAsia="Mirador" w:hAnsi="Mirador" w:cs="Mirador"/>
          <w:b/>
          <w:bCs/>
          <w:sz w:val="20"/>
          <w:szCs w:val="20"/>
          <w:lang w:val="es-ES"/>
        </w:rPr>
        <w:t xml:space="preserve">Calificación 5 (Cinco): </w:t>
      </w:r>
      <w:r w:rsidRPr="79F196FC">
        <w:rPr>
          <w:rFonts w:ascii="Mirador" w:eastAsia="Mirador" w:hAnsi="Mirador" w:cs="Mirador"/>
          <w:sz w:val="20"/>
          <w:szCs w:val="20"/>
          <w:lang w:val="es-ES"/>
        </w:rPr>
        <w:t>Cumplimiento Óptimo o Nivel de Desarrollo Excepcional: Esta calificación se otorgará cuando la propuesta cumpla con el requisito de manera sobresaliente, demostrando un dominio integral del aspecto evaluado, con un nivel de detalle, claridad e innovación que excede significativamente los requerimientos. Se proponen soluciones creativas, altamente eficientes y que aportan un valor añadido sustancial al proyecto, garantizando un cumplimiento exitoso y ejemplar.</w:t>
      </w:r>
    </w:p>
    <w:sectPr w:rsidR="00485DCC" w:rsidRPr="00485DCC" w:rsidSect="00485DCC">
      <w:footerReference w:type="default" r:id="rId10"/>
      <w:pgSz w:w="15840" w:h="12240" w:orient="landscape"/>
      <w:pgMar w:top="1701" w:right="1417" w:bottom="1701"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C028E7" w16cex:dateUtc="2025-04-01T20:38:01.256Z"/>
  <w16cex:commentExtensible w16cex:durableId="07C3FB7D" w16cex:dateUtc="2025-04-03T12:47:00.427Z"/>
  <w16cex:commentExtensible w16cex:durableId="15FD99E0" w16cex:dateUtc="2025-04-09T02:51:42.678Z"/>
</w16cex:commentsExtensible>
</file>

<file path=word/commentsIds.xml><?xml version="1.0" encoding="utf-8"?>
<w16cid:commentsIds xmlns:mc="http://schemas.openxmlformats.org/markup-compatibility/2006" xmlns:w16cid="http://schemas.microsoft.com/office/word/2016/wordml/cid" mc:Ignorable="w16cid">
  <w16cid:commentId w16cid:paraId="69B370FF" w16cid:durableId="38C028E7"/>
  <w16cid:commentId w16cid:paraId="655A0C3E" w16cid:durableId="07C3FB7D"/>
  <w16cid:commentId w16cid:paraId="775C023D" w16cid:durableId="15FD99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64D18" w14:textId="77777777" w:rsidR="00000000" w:rsidRDefault="002B0022">
      <w:pPr>
        <w:spacing w:after="0" w:line="240" w:lineRule="auto"/>
      </w:pPr>
      <w:r>
        <w:separator/>
      </w:r>
    </w:p>
  </w:endnote>
  <w:endnote w:type="continuationSeparator" w:id="0">
    <w:p w14:paraId="5F850EFA" w14:textId="77777777" w:rsidR="00000000" w:rsidRDefault="002B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rador">
    <w:altName w:val="Arial"/>
    <w:panose1 w:val="00000000000000000000"/>
    <w:charset w:val="00"/>
    <w:family w:val="modern"/>
    <w:notTrueType/>
    <w:pitch w:val="variable"/>
    <w:sig w:usb0="A000006F" w:usb1="00000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35"/>
      <w:gridCol w:w="4335"/>
      <w:gridCol w:w="4335"/>
    </w:tblGrid>
    <w:tr w:rsidR="79F196FC" w14:paraId="34FDAC8C" w14:textId="77777777" w:rsidTr="79F196FC">
      <w:trPr>
        <w:trHeight w:val="300"/>
      </w:trPr>
      <w:tc>
        <w:tcPr>
          <w:tcW w:w="4335" w:type="dxa"/>
        </w:tcPr>
        <w:p w14:paraId="0F6797F5" w14:textId="07E018DD" w:rsidR="79F196FC" w:rsidRDefault="79F196FC" w:rsidP="79F196FC">
          <w:pPr>
            <w:pStyle w:val="Encabezado"/>
            <w:ind w:left="-115"/>
          </w:pPr>
          <w:r>
            <w:t>Versión 1.0, 8 de abril de 2025</w:t>
          </w:r>
        </w:p>
      </w:tc>
      <w:tc>
        <w:tcPr>
          <w:tcW w:w="4335" w:type="dxa"/>
        </w:tcPr>
        <w:p w14:paraId="6D6AE978" w14:textId="718CA8B6" w:rsidR="79F196FC" w:rsidRDefault="79F196FC" w:rsidP="79F196FC">
          <w:pPr>
            <w:pStyle w:val="Encabezado"/>
            <w:jc w:val="center"/>
          </w:pPr>
        </w:p>
      </w:tc>
      <w:tc>
        <w:tcPr>
          <w:tcW w:w="4335" w:type="dxa"/>
        </w:tcPr>
        <w:p w14:paraId="5FDBFC97" w14:textId="72673491" w:rsidR="79F196FC" w:rsidRDefault="79F196FC" w:rsidP="79F196FC">
          <w:pPr>
            <w:pStyle w:val="Encabezado"/>
            <w:ind w:right="-115"/>
            <w:jc w:val="right"/>
          </w:pPr>
        </w:p>
      </w:tc>
    </w:tr>
  </w:tbl>
  <w:p w14:paraId="553E9608" w14:textId="6EECC431" w:rsidR="79F196FC" w:rsidRDefault="79F196FC" w:rsidP="79F196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48D90" w14:textId="77777777" w:rsidR="00000000" w:rsidRDefault="002B0022">
      <w:pPr>
        <w:spacing w:after="0" w:line="240" w:lineRule="auto"/>
      </w:pPr>
      <w:r>
        <w:separator/>
      </w:r>
    </w:p>
  </w:footnote>
  <w:footnote w:type="continuationSeparator" w:id="0">
    <w:p w14:paraId="412CD2EB" w14:textId="77777777" w:rsidR="00000000" w:rsidRDefault="002B0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AA216"/>
    <w:multiLevelType w:val="hybridMultilevel"/>
    <w:tmpl w:val="E2F44496"/>
    <w:lvl w:ilvl="0" w:tplc="860E2E4E">
      <w:start w:val="1"/>
      <w:numFmt w:val="decimal"/>
      <w:lvlText w:val="%1-"/>
      <w:lvlJc w:val="left"/>
      <w:pPr>
        <w:ind w:left="720" w:hanging="360"/>
      </w:pPr>
    </w:lvl>
    <w:lvl w:ilvl="1" w:tplc="C82849B4">
      <w:start w:val="1"/>
      <w:numFmt w:val="lowerLetter"/>
      <w:lvlText w:val="%2."/>
      <w:lvlJc w:val="left"/>
      <w:pPr>
        <w:ind w:left="1440" w:hanging="360"/>
      </w:pPr>
    </w:lvl>
    <w:lvl w:ilvl="2" w:tplc="ED36E0CA">
      <w:start w:val="1"/>
      <w:numFmt w:val="lowerRoman"/>
      <w:lvlText w:val="%3."/>
      <w:lvlJc w:val="right"/>
      <w:pPr>
        <w:ind w:left="2160" w:hanging="180"/>
      </w:pPr>
    </w:lvl>
    <w:lvl w:ilvl="3" w:tplc="3300EA94">
      <w:start w:val="1"/>
      <w:numFmt w:val="decimal"/>
      <w:lvlText w:val="%4."/>
      <w:lvlJc w:val="left"/>
      <w:pPr>
        <w:ind w:left="2880" w:hanging="360"/>
      </w:pPr>
    </w:lvl>
    <w:lvl w:ilvl="4" w:tplc="D836141C">
      <w:start w:val="1"/>
      <w:numFmt w:val="lowerLetter"/>
      <w:lvlText w:val="%5."/>
      <w:lvlJc w:val="left"/>
      <w:pPr>
        <w:ind w:left="3600" w:hanging="360"/>
      </w:pPr>
    </w:lvl>
    <w:lvl w:ilvl="5" w:tplc="EA38EF7E">
      <w:start w:val="1"/>
      <w:numFmt w:val="lowerRoman"/>
      <w:lvlText w:val="%6."/>
      <w:lvlJc w:val="right"/>
      <w:pPr>
        <w:ind w:left="4320" w:hanging="180"/>
      </w:pPr>
    </w:lvl>
    <w:lvl w:ilvl="6" w:tplc="50BCA1B6">
      <w:start w:val="1"/>
      <w:numFmt w:val="decimal"/>
      <w:lvlText w:val="%7."/>
      <w:lvlJc w:val="left"/>
      <w:pPr>
        <w:ind w:left="5040" w:hanging="360"/>
      </w:pPr>
    </w:lvl>
    <w:lvl w:ilvl="7" w:tplc="6DF614BA">
      <w:start w:val="1"/>
      <w:numFmt w:val="lowerLetter"/>
      <w:lvlText w:val="%8."/>
      <w:lvlJc w:val="left"/>
      <w:pPr>
        <w:ind w:left="5760" w:hanging="360"/>
      </w:pPr>
    </w:lvl>
    <w:lvl w:ilvl="8" w:tplc="74185B3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CC"/>
    <w:rsid w:val="002B0022"/>
    <w:rsid w:val="003B7B40"/>
    <w:rsid w:val="00485DCC"/>
    <w:rsid w:val="00514F23"/>
    <w:rsid w:val="007A7BF2"/>
    <w:rsid w:val="06536D8E"/>
    <w:rsid w:val="083AAB18"/>
    <w:rsid w:val="09983B14"/>
    <w:rsid w:val="11E36127"/>
    <w:rsid w:val="143EC059"/>
    <w:rsid w:val="14F3851A"/>
    <w:rsid w:val="17011E62"/>
    <w:rsid w:val="17FA33CD"/>
    <w:rsid w:val="1AD35086"/>
    <w:rsid w:val="1C34FD7A"/>
    <w:rsid w:val="1E99DB7F"/>
    <w:rsid w:val="1EF015EC"/>
    <w:rsid w:val="1FBF367B"/>
    <w:rsid w:val="237D9614"/>
    <w:rsid w:val="23911A7C"/>
    <w:rsid w:val="24016649"/>
    <w:rsid w:val="259B2BCE"/>
    <w:rsid w:val="2612AFD1"/>
    <w:rsid w:val="275AF436"/>
    <w:rsid w:val="28961DD1"/>
    <w:rsid w:val="293B5AFB"/>
    <w:rsid w:val="2DE07AC1"/>
    <w:rsid w:val="304A465B"/>
    <w:rsid w:val="363EF5C6"/>
    <w:rsid w:val="376E14CC"/>
    <w:rsid w:val="37BDC716"/>
    <w:rsid w:val="3A05556B"/>
    <w:rsid w:val="3BA8B1F5"/>
    <w:rsid w:val="3C275666"/>
    <w:rsid w:val="3C46A82D"/>
    <w:rsid w:val="3EDC9287"/>
    <w:rsid w:val="3F8FF9F7"/>
    <w:rsid w:val="410BC88E"/>
    <w:rsid w:val="470E5110"/>
    <w:rsid w:val="47A98B4E"/>
    <w:rsid w:val="49493DAF"/>
    <w:rsid w:val="4A0E7F6E"/>
    <w:rsid w:val="4B9E164A"/>
    <w:rsid w:val="4EDFE945"/>
    <w:rsid w:val="4EF49405"/>
    <w:rsid w:val="4F4F4069"/>
    <w:rsid w:val="4FCB0A7B"/>
    <w:rsid w:val="51EE1484"/>
    <w:rsid w:val="52884618"/>
    <w:rsid w:val="55EB905F"/>
    <w:rsid w:val="569FEBEA"/>
    <w:rsid w:val="590920F3"/>
    <w:rsid w:val="5AE500F9"/>
    <w:rsid w:val="5B37CFAF"/>
    <w:rsid w:val="5C949357"/>
    <w:rsid w:val="5E561597"/>
    <w:rsid w:val="5FF7BB37"/>
    <w:rsid w:val="63EBC342"/>
    <w:rsid w:val="65C6C456"/>
    <w:rsid w:val="68C5932B"/>
    <w:rsid w:val="6B731060"/>
    <w:rsid w:val="6E83B47A"/>
    <w:rsid w:val="6FCA9DFF"/>
    <w:rsid w:val="7038AC53"/>
    <w:rsid w:val="7102C40A"/>
    <w:rsid w:val="734A4F70"/>
    <w:rsid w:val="7619FE80"/>
    <w:rsid w:val="773271A0"/>
    <w:rsid w:val="78C91FB7"/>
    <w:rsid w:val="78D20E0A"/>
    <w:rsid w:val="79F196FC"/>
    <w:rsid w:val="7E278F29"/>
    <w:rsid w:val="7EA115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8EFF"/>
  <w15:chartTrackingRefBased/>
  <w15:docId w15:val="{49CE86C7-39BC-490C-B2B4-A0482147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5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7619FE8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14F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F23"/>
    <w:rPr>
      <w:rFonts w:ascii="Segoe UI" w:hAnsi="Segoe UI" w:cs="Segoe UI"/>
      <w:sz w:val="18"/>
      <w:szCs w:val="18"/>
    </w:rPr>
  </w:style>
  <w:style w:type="paragraph" w:styleId="Encabezado">
    <w:name w:val="header"/>
    <w:basedOn w:val="Normal"/>
    <w:uiPriority w:val="99"/>
    <w:unhideWhenUsed/>
    <w:rsid w:val="79F196FC"/>
    <w:pPr>
      <w:tabs>
        <w:tab w:val="center" w:pos="4680"/>
        <w:tab w:val="right" w:pos="9360"/>
      </w:tabs>
      <w:spacing w:after="0" w:line="240" w:lineRule="auto"/>
    </w:pPr>
  </w:style>
  <w:style w:type="paragraph" w:styleId="Piedepgina">
    <w:name w:val="footer"/>
    <w:basedOn w:val="Normal"/>
    <w:uiPriority w:val="99"/>
    <w:unhideWhenUsed/>
    <w:rsid w:val="79F196F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86613">
      <w:bodyDiv w:val="1"/>
      <w:marLeft w:val="0"/>
      <w:marRight w:val="0"/>
      <w:marTop w:val="0"/>
      <w:marBottom w:val="0"/>
      <w:divBdr>
        <w:top w:val="none" w:sz="0" w:space="0" w:color="auto"/>
        <w:left w:val="none" w:sz="0" w:space="0" w:color="auto"/>
        <w:bottom w:val="none" w:sz="0" w:space="0" w:color="auto"/>
        <w:right w:val="none" w:sz="0" w:space="0" w:color="auto"/>
      </w:divBdr>
    </w:div>
    <w:div w:id="15224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22352ce7d892498c" Type="http://schemas.microsoft.com/office/2016/09/relationships/commentsIds" Target="commentsIds.xml"/><Relationship Id="R0b48e3c469de49c7"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803800252BB7E45926FD8288079C3C4" ma:contentTypeVersion="4" ma:contentTypeDescription="Crear nuevo documento." ma:contentTypeScope="" ma:versionID="c133aa69f33d9148dc71210e2b78366c">
  <xsd:schema xmlns:xsd="http://www.w3.org/2001/XMLSchema" xmlns:xs="http://www.w3.org/2001/XMLSchema" xmlns:p="http://schemas.microsoft.com/office/2006/metadata/properties" xmlns:ns2="a247d8cd-18cc-4043-ac00-d0d71c250733" targetNamespace="http://schemas.microsoft.com/office/2006/metadata/properties" ma:root="true" ma:fieldsID="fdd4d43384040aef87ae91598ad50f46" ns2:_="">
    <xsd:import namespace="a247d8cd-18cc-4043-ac00-d0d71c250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7d8cd-18cc-4043-ac00-d0d71c25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7DFB4-39A3-48FF-BDD1-B4F6EBE49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8E62D-FAD0-433C-A296-E6186954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7d8cd-18cc-4043-ac00-d0d71c25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C2266-A3F5-4A75-BFBC-1465D3A07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4020</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Ballerines</dc:creator>
  <cp:keywords/>
  <dc:description/>
  <cp:lastModifiedBy>Paola Cáceres</cp:lastModifiedBy>
  <cp:revision>6</cp:revision>
  <dcterms:created xsi:type="dcterms:W3CDTF">2025-04-04T12:48:00Z</dcterms:created>
  <dcterms:modified xsi:type="dcterms:W3CDTF">2025-04-09T18:37:00Z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0x010100E803800252BB7E45926FD8288079C3C4</vt:lpwstr>
  </property>
</Properties>
</file>